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82472" w14:textId="77777777" w:rsidR="001D6D0B" w:rsidRDefault="001D6D0B" w:rsidP="005E5B44">
      <w:pPr>
        <w:spacing w:after="0"/>
        <w:jc w:val="center"/>
        <w:rPr>
          <w:rFonts w:ascii="Times New Roman" w:hAnsi="Times New Roman" w:cs="Times New Roman"/>
          <w:b/>
          <w:sz w:val="24"/>
          <w:szCs w:val="24"/>
        </w:rPr>
      </w:pPr>
    </w:p>
    <w:p w14:paraId="190D98CC" w14:textId="3096159B" w:rsidR="00931455" w:rsidRDefault="005E5B44" w:rsidP="005E5B44">
      <w:pPr>
        <w:spacing w:after="0"/>
        <w:jc w:val="center"/>
        <w:rPr>
          <w:rFonts w:ascii="Times New Roman" w:hAnsi="Times New Roman" w:cs="Times New Roman"/>
          <w:b/>
          <w:sz w:val="24"/>
          <w:szCs w:val="24"/>
        </w:rPr>
      </w:pPr>
      <w:r>
        <w:rPr>
          <w:rFonts w:ascii="Times New Roman" w:hAnsi="Times New Roman" w:cs="Times New Roman"/>
          <w:b/>
          <w:sz w:val="24"/>
          <w:szCs w:val="24"/>
        </w:rPr>
        <w:t>Reporting Expunged or Sealed Cases</w:t>
      </w:r>
      <w:r w:rsidR="00931455">
        <w:rPr>
          <w:rFonts w:ascii="Times New Roman" w:hAnsi="Times New Roman" w:cs="Times New Roman"/>
          <w:b/>
          <w:sz w:val="24"/>
          <w:szCs w:val="24"/>
        </w:rPr>
        <w:t xml:space="preserve"> in Commercial Background Checks</w:t>
      </w:r>
    </w:p>
    <w:p w14:paraId="39AB7B43" w14:textId="77777777" w:rsidR="00866A86" w:rsidRDefault="005E5B44" w:rsidP="005E5B44">
      <w:pPr>
        <w:spacing w:after="0"/>
        <w:jc w:val="center"/>
        <w:rPr>
          <w:rFonts w:ascii="Times New Roman" w:hAnsi="Times New Roman" w:cs="Times New Roman"/>
          <w:sz w:val="24"/>
          <w:szCs w:val="24"/>
        </w:rPr>
      </w:pPr>
      <w:r>
        <w:rPr>
          <w:rFonts w:ascii="Times New Roman" w:hAnsi="Times New Roman" w:cs="Times New Roman"/>
          <w:b/>
          <w:sz w:val="24"/>
          <w:szCs w:val="24"/>
        </w:rPr>
        <w:t>Violates the Fair Credit Reporting Act</w:t>
      </w:r>
    </w:p>
    <w:p w14:paraId="02A4992D" w14:textId="77777777" w:rsidR="005E5B44" w:rsidRDefault="005E5B44" w:rsidP="005E5B44">
      <w:pPr>
        <w:spacing w:after="0"/>
        <w:jc w:val="center"/>
        <w:rPr>
          <w:rFonts w:ascii="Times New Roman" w:hAnsi="Times New Roman" w:cs="Times New Roman"/>
          <w:sz w:val="24"/>
          <w:szCs w:val="24"/>
        </w:rPr>
      </w:pPr>
    </w:p>
    <w:p w14:paraId="7F951308" w14:textId="3D94FF23" w:rsidR="005E5B44" w:rsidRPr="005E5B44" w:rsidRDefault="005E5B44" w:rsidP="005E5B44">
      <w:pPr>
        <w:spacing w:after="0"/>
        <w:jc w:val="both"/>
        <w:rPr>
          <w:rFonts w:ascii="Times New Roman" w:hAnsi="Times New Roman" w:cs="Times New Roman"/>
          <w:sz w:val="24"/>
          <w:szCs w:val="24"/>
        </w:rPr>
      </w:pPr>
      <w:r>
        <w:rPr>
          <w:rFonts w:ascii="Times New Roman" w:hAnsi="Times New Roman" w:cs="Times New Roman"/>
          <w:sz w:val="24"/>
          <w:szCs w:val="24"/>
        </w:rPr>
        <w:t xml:space="preserve">The Fair Credit Reporting Act (the FCRA) governs the accuracy of criminal background checks prepared by commercial screeners.  While there is </w:t>
      </w:r>
      <w:r w:rsidR="007D557E">
        <w:rPr>
          <w:rFonts w:ascii="Times New Roman" w:hAnsi="Times New Roman" w:cs="Times New Roman"/>
          <w:sz w:val="24"/>
          <w:szCs w:val="24"/>
        </w:rPr>
        <w:t xml:space="preserve">not much </w:t>
      </w:r>
      <w:r>
        <w:rPr>
          <w:rFonts w:ascii="Times New Roman" w:hAnsi="Times New Roman" w:cs="Times New Roman"/>
          <w:sz w:val="24"/>
          <w:szCs w:val="24"/>
        </w:rPr>
        <w:t xml:space="preserve">case law holding that the FCRA prohibits commercial screeners from reporting expunged or sealed cases, there is little doubt that </w:t>
      </w:r>
      <w:r w:rsidR="00034AF1">
        <w:rPr>
          <w:rFonts w:ascii="Times New Roman" w:hAnsi="Times New Roman" w:cs="Times New Roman"/>
          <w:sz w:val="24"/>
          <w:szCs w:val="24"/>
        </w:rPr>
        <w:t>it does</w:t>
      </w:r>
      <w:r>
        <w:rPr>
          <w:rFonts w:ascii="Times New Roman" w:hAnsi="Times New Roman" w:cs="Times New Roman"/>
          <w:sz w:val="24"/>
          <w:szCs w:val="24"/>
        </w:rPr>
        <w:t>.</w:t>
      </w:r>
    </w:p>
    <w:p w14:paraId="15082940" w14:textId="77777777" w:rsidR="000A6284" w:rsidRDefault="000A6284" w:rsidP="000A6284">
      <w:pPr>
        <w:spacing w:after="0"/>
        <w:rPr>
          <w:rFonts w:ascii="Times New Roman" w:hAnsi="Times New Roman" w:cs="Times New Roman"/>
          <w:sz w:val="24"/>
          <w:szCs w:val="24"/>
        </w:rPr>
      </w:pPr>
    </w:p>
    <w:p w14:paraId="752332B8" w14:textId="0C958725" w:rsidR="000A6284" w:rsidRDefault="005E5B44" w:rsidP="000A6284">
      <w:pPr>
        <w:spacing w:after="0"/>
        <w:rPr>
          <w:rFonts w:ascii="Times New Roman" w:hAnsi="Times New Roman" w:cs="Times New Roman"/>
          <w:sz w:val="24"/>
          <w:szCs w:val="24"/>
        </w:rPr>
      </w:pPr>
      <w:r>
        <w:rPr>
          <w:rFonts w:ascii="Times New Roman" w:hAnsi="Times New Roman" w:cs="Times New Roman"/>
          <w:sz w:val="24"/>
          <w:szCs w:val="24"/>
        </w:rPr>
        <w:t>Two FCRA provisions</w:t>
      </w:r>
      <w:r w:rsidR="00931455">
        <w:rPr>
          <w:rFonts w:ascii="Times New Roman" w:hAnsi="Times New Roman" w:cs="Times New Roman"/>
          <w:sz w:val="24"/>
          <w:szCs w:val="24"/>
        </w:rPr>
        <w:t xml:space="preserve"> </w:t>
      </w:r>
      <w:r w:rsidR="007D557E">
        <w:rPr>
          <w:rFonts w:ascii="Times New Roman" w:hAnsi="Times New Roman" w:cs="Times New Roman"/>
          <w:sz w:val="24"/>
          <w:szCs w:val="24"/>
        </w:rPr>
        <w:t>apply:</w:t>
      </w:r>
    </w:p>
    <w:p w14:paraId="625DBF11" w14:textId="77777777" w:rsidR="005E5B44" w:rsidRDefault="005E5B44" w:rsidP="000A6284">
      <w:pPr>
        <w:spacing w:after="0"/>
        <w:rPr>
          <w:rFonts w:ascii="Times New Roman" w:hAnsi="Times New Roman" w:cs="Times New Roman"/>
          <w:sz w:val="24"/>
          <w:szCs w:val="24"/>
        </w:rPr>
      </w:pPr>
    </w:p>
    <w:p w14:paraId="4177E3B1" w14:textId="77777777" w:rsidR="005E5B44" w:rsidRPr="006F7B38" w:rsidRDefault="005E5B44" w:rsidP="005E5B44">
      <w:pPr>
        <w:pStyle w:val="Level1"/>
        <w:numPr>
          <w:ilvl w:val="0"/>
          <w:numId w:val="1"/>
        </w:numPr>
        <w:tabs>
          <w:tab w:val="left" w:pos="-1440"/>
        </w:tabs>
        <w:jc w:val="both"/>
      </w:pPr>
      <w:r>
        <w:t>Commercial screeners</w:t>
      </w:r>
      <w:r w:rsidRPr="006F7B38">
        <w:t xml:space="preserve"> must use “reasonable procedures” to insure “maximum possible accuracy” of the information in the report.  </w:t>
      </w:r>
      <w:bookmarkStart w:id="0" w:name="_Hlk23084249"/>
      <w:r w:rsidRPr="006F7B38">
        <w:t>15 U.S.C. §1681e(b).</w:t>
      </w:r>
      <w:bookmarkEnd w:id="0"/>
    </w:p>
    <w:p w14:paraId="2F66C216" w14:textId="77777777" w:rsidR="005E5B44" w:rsidRDefault="005E5B44" w:rsidP="000A6284">
      <w:pPr>
        <w:spacing w:after="0"/>
        <w:rPr>
          <w:rFonts w:ascii="Times New Roman" w:hAnsi="Times New Roman" w:cs="Times New Roman"/>
          <w:sz w:val="24"/>
          <w:szCs w:val="24"/>
        </w:rPr>
      </w:pPr>
    </w:p>
    <w:p w14:paraId="14309618" w14:textId="6110F141" w:rsidR="005E5B44" w:rsidRDefault="005E5B44" w:rsidP="005E5B44">
      <w:pPr>
        <w:pStyle w:val="Level1"/>
        <w:numPr>
          <w:ilvl w:val="0"/>
          <w:numId w:val="1"/>
        </w:numPr>
        <w:tabs>
          <w:tab w:val="left" w:pos="-1440"/>
        </w:tabs>
        <w:jc w:val="both"/>
      </w:pPr>
      <w:r w:rsidRPr="006F7B38">
        <w:t xml:space="preserve">A </w:t>
      </w:r>
      <w:r>
        <w:t>commercial screener</w:t>
      </w:r>
      <w:r w:rsidRPr="006F7B38">
        <w:t xml:space="preserve"> reporting public record information for employment purposes which “is likely to have an adverse effect on the consumer’s ability to obtain employment” must </w:t>
      </w:r>
      <w:r w:rsidRPr="006F7B38">
        <w:rPr>
          <w:u w:val="single"/>
        </w:rPr>
        <w:t>either</w:t>
      </w:r>
      <w:r w:rsidRPr="006F7B38">
        <w:t xml:space="preserve"> notify the person that the public record information is being reported and provide the name and</w:t>
      </w:r>
      <w:r>
        <w:t xml:space="preserve"> </w:t>
      </w:r>
      <w:r w:rsidRPr="006F7B38">
        <w:t>address of the person who is requesting the information</w:t>
      </w:r>
      <w:r>
        <w:t xml:space="preserve"> at the time that the information is provider to the user</w:t>
      </w:r>
      <w:r w:rsidRPr="006F7B38">
        <w:t xml:space="preserve"> </w:t>
      </w:r>
      <w:r w:rsidRPr="006F7B38">
        <w:rPr>
          <w:u w:val="single"/>
        </w:rPr>
        <w:t>or</w:t>
      </w:r>
      <w:r w:rsidRPr="006F7B38">
        <w:t xml:space="preserve"> must maintain strict procedures to insure that the information it reports is complete and up to date.  15 U.S.C. §1681k.  </w:t>
      </w:r>
    </w:p>
    <w:p w14:paraId="26FAD0DD" w14:textId="77777777" w:rsidR="000A6284" w:rsidRDefault="000A6284" w:rsidP="000A6284">
      <w:pPr>
        <w:spacing w:after="0"/>
        <w:rPr>
          <w:rFonts w:ascii="Times New Roman" w:hAnsi="Times New Roman" w:cs="Times New Roman"/>
          <w:sz w:val="24"/>
          <w:szCs w:val="24"/>
        </w:rPr>
      </w:pPr>
    </w:p>
    <w:p w14:paraId="7F2B8653" w14:textId="77777777" w:rsidR="000A6284" w:rsidRDefault="00D565EF" w:rsidP="00931455">
      <w:pPr>
        <w:spacing w:after="0"/>
        <w:jc w:val="both"/>
        <w:rPr>
          <w:rFonts w:ascii="Times New Roman" w:hAnsi="Times New Roman" w:cs="Times New Roman"/>
          <w:sz w:val="24"/>
          <w:szCs w:val="24"/>
        </w:rPr>
      </w:pPr>
      <w:r>
        <w:rPr>
          <w:rFonts w:ascii="Times New Roman" w:hAnsi="Times New Roman" w:cs="Times New Roman"/>
          <w:sz w:val="24"/>
          <w:szCs w:val="24"/>
        </w:rPr>
        <w:t>Numerous FCRA class actions have been brought under one or both of these provisions to challenge a commercial screener’s reporting of expunged or sealed cases.</w:t>
      </w:r>
    </w:p>
    <w:p w14:paraId="43CD0867" w14:textId="77777777" w:rsidR="00D565EF" w:rsidRDefault="00D565EF" w:rsidP="00931455">
      <w:pPr>
        <w:spacing w:after="0"/>
        <w:jc w:val="both"/>
        <w:rPr>
          <w:rFonts w:ascii="Times New Roman" w:hAnsi="Times New Roman" w:cs="Times New Roman"/>
          <w:sz w:val="24"/>
          <w:szCs w:val="24"/>
        </w:rPr>
      </w:pPr>
    </w:p>
    <w:p w14:paraId="2BC820C6" w14:textId="77777777" w:rsidR="00D565EF" w:rsidRDefault="00D565EF" w:rsidP="00931455">
      <w:pPr>
        <w:pStyle w:val="ListParagraph"/>
        <w:numPr>
          <w:ilvl w:val="0"/>
          <w:numId w:val="2"/>
        </w:numPr>
        <w:ind w:hanging="720"/>
        <w:jc w:val="both"/>
      </w:pPr>
      <w:r w:rsidRPr="00EB6784">
        <w:rPr>
          <w:i/>
        </w:rPr>
        <w:t>Henderson v. HireRight Solutions, Inc.</w:t>
      </w:r>
      <w:r>
        <w:t>, No. 10-459 (E.D. Pa. 2010).</w:t>
      </w:r>
    </w:p>
    <w:p w14:paraId="379E1F1A" w14:textId="77777777" w:rsidR="00D565EF" w:rsidRDefault="00D565EF" w:rsidP="00931455">
      <w:pPr>
        <w:pStyle w:val="ListParagraph"/>
        <w:numPr>
          <w:ilvl w:val="0"/>
          <w:numId w:val="2"/>
        </w:numPr>
        <w:ind w:hanging="720"/>
        <w:jc w:val="both"/>
      </w:pPr>
      <w:r w:rsidRPr="00EB6784">
        <w:rPr>
          <w:i/>
        </w:rPr>
        <w:t>Robinson v. General Information Services</w:t>
      </w:r>
      <w:r>
        <w:rPr>
          <w:i/>
        </w:rPr>
        <w:t>, Inc.</w:t>
      </w:r>
      <w:r>
        <w:t>, No. 11-7782 (E.D. Pa. 2011).</w:t>
      </w:r>
    </w:p>
    <w:p w14:paraId="481BF3C0" w14:textId="77777777" w:rsidR="00D565EF" w:rsidRDefault="00D565EF" w:rsidP="00931455">
      <w:pPr>
        <w:pStyle w:val="ListParagraph"/>
        <w:numPr>
          <w:ilvl w:val="0"/>
          <w:numId w:val="2"/>
        </w:numPr>
        <w:ind w:hanging="720"/>
        <w:jc w:val="both"/>
      </w:pPr>
      <w:r w:rsidRPr="00EB6784">
        <w:rPr>
          <w:i/>
        </w:rPr>
        <w:t>Roe v. Intellicorp Records, Inc.</w:t>
      </w:r>
      <w:r>
        <w:t>, No. 1:12-cv-2288 (N.D. Ohio 2012).</w:t>
      </w:r>
    </w:p>
    <w:p w14:paraId="7362D547" w14:textId="77777777" w:rsidR="00D565EF" w:rsidRDefault="00D565EF" w:rsidP="00931455">
      <w:pPr>
        <w:pStyle w:val="ListParagraph"/>
        <w:numPr>
          <w:ilvl w:val="0"/>
          <w:numId w:val="2"/>
        </w:numPr>
        <w:ind w:hanging="720"/>
        <w:jc w:val="both"/>
      </w:pPr>
      <w:r w:rsidRPr="00EB6784">
        <w:rPr>
          <w:i/>
        </w:rPr>
        <w:t>Giddiens v. LexisNexis Risk Solutions, Inc.</w:t>
      </w:r>
      <w:r>
        <w:t>, No. 2:12-cv-02624-LDD (E.D. Pa. 2012).</w:t>
      </w:r>
    </w:p>
    <w:p w14:paraId="319CFE67" w14:textId="77777777" w:rsidR="00D565EF" w:rsidRDefault="00D565EF" w:rsidP="00931455">
      <w:pPr>
        <w:pStyle w:val="ListParagraph"/>
        <w:numPr>
          <w:ilvl w:val="0"/>
          <w:numId w:val="2"/>
        </w:numPr>
        <w:ind w:hanging="720"/>
        <w:jc w:val="both"/>
      </w:pPr>
      <w:r w:rsidRPr="00EB6784">
        <w:rPr>
          <w:i/>
        </w:rPr>
        <w:t>Stokes v. RealPage, Inc.</w:t>
      </w:r>
      <w:r>
        <w:t>, No. 2:15-cv-01520-JP (E.D. Pa. 2015).</w:t>
      </w:r>
    </w:p>
    <w:p w14:paraId="6ED887C3" w14:textId="77777777" w:rsidR="00D565EF" w:rsidRDefault="00D565EF" w:rsidP="00931455">
      <w:pPr>
        <w:pStyle w:val="ListParagraph"/>
        <w:ind w:left="0"/>
        <w:jc w:val="both"/>
      </w:pPr>
    </w:p>
    <w:p w14:paraId="03DD3596" w14:textId="77777777" w:rsidR="00D565EF" w:rsidRPr="00D565EF" w:rsidRDefault="00D565EF" w:rsidP="00931455">
      <w:pPr>
        <w:spacing w:after="0"/>
        <w:jc w:val="both"/>
        <w:rPr>
          <w:rFonts w:ascii="Times New Roman" w:hAnsi="Times New Roman" w:cs="Times New Roman"/>
          <w:sz w:val="24"/>
          <w:szCs w:val="24"/>
        </w:rPr>
      </w:pPr>
      <w:r>
        <w:rPr>
          <w:rFonts w:ascii="Times New Roman" w:hAnsi="Times New Roman" w:cs="Times New Roman"/>
          <w:sz w:val="24"/>
          <w:szCs w:val="24"/>
        </w:rPr>
        <w:t>All</w:t>
      </w:r>
      <w:r w:rsidRPr="00D565EF">
        <w:rPr>
          <w:rFonts w:ascii="Times New Roman" w:hAnsi="Times New Roman" w:cs="Times New Roman"/>
          <w:sz w:val="24"/>
          <w:szCs w:val="24"/>
        </w:rPr>
        <w:t xml:space="preserve"> of these cases were settled</w:t>
      </w:r>
      <w:r>
        <w:rPr>
          <w:rFonts w:ascii="Times New Roman" w:hAnsi="Times New Roman" w:cs="Times New Roman"/>
          <w:sz w:val="24"/>
          <w:szCs w:val="24"/>
        </w:rPr>
        <w:t>,</w:t>
      </w:r>
      <w:r w:rsidRPr="00D565EF">
        <w:rPr>
          <w:rFonts w:ascii="Times New Roman" w:hAnsi="Times New Roman" w:cs="Times New Roman"/>
          <w:sz w:val="24"/>
          <w:szCs w:val="24"/>
        </w:rPr>
        <w:t xml:space="preserve"> </w:t>
      </w:r>
      <w:r w:rsidR="00931455">
        <w:rPr>
          <w:rFonts w:ascii="Times New Roman" w:hAnsi="Times New Roman" w:cs="Times New Roman"/>
          <w:sz w:val="24"/>
          <w:szCs w:val="24"/>
        </w:rPr>
        <w:t xml:space="preserve">with the settlement </w:t>
      </w:r>
      <w:r w:rsidRPr="00D565EF">
        <w:rPr>
          <w:rFonts w:ascii="Times New Roman" w:hAnsi="Times New Roman" w:cs="Times New Roman"/>
          <w:sz w:val="24"/>
          <w:szCs w:val="24"/>
        </w:rPr>
        <w:t>typically</w:t>
      </w:r>
      <w:r>
        <w:rPr>
          <w:rFonts w:ascii="Times New Roman" w:hAnsi="Times New Roman" w:cs="Times New Roman"/>
          <w:sz w:val="24"/>
          <w:szCs w:val="24"/>
        </w:rPr>
        <w:t xml:space="preserve"> requiring the discontinuation of</w:t>
      </w:r>
      <w:r w:rsidRPr="00D565EF">
        <w:rPr>
          <w:rFonts w:ascii="Times New Roman" w:hAnsi="Times New Roman" w:cs="Times New Roman"/>
          <w:sz w:val="24"/>
          <w:szCs w:val="24"/>
        </w:rPr>
        <w:t xml:space="preserve"> th</w:t>
      </w:r>
      <w:r>
        <w:rPr>
          <w:rFonts w:ascii="Times New Roman" w:hAnsi="Times New Roman" w:cs="Times New Roman"/>
          <w:sz w:val="24"/>
          <w:szCs w:val="24"/>
        </w:rPr>
        <w:t xml:space="preserve">e use of stale data or </w:t>
      </w:r>
      <w:r w:rsidRPr="00D565EF">
        <w:rPr>
          <w:rFonts w:ascii="Times New Roman" w:hAnsi="Times New Roman" w:cs="Times New Roman"/>
          <w:sz w:val="24"/>
          <w:szCs w:val="24"/>
        </w:rPr>
        <w:t>the screener to change its practice to verify data.</w:t>
      </w:r>
    </w:p>
    <w:p w14:paraId="585D64C7" w14:textId="77777777" w:rsidR="00D565EF" w:rsidRPr="00D565EF" w:rsidRDefault="00D565EF" w:rsidP="00931455">
      <w:pPr>
        <w:spacing w:after="0"/>
        <w:jc w:val="both"/>
        <w:rPr>
          <w:rFonts w:ascii="Times New Roman" w:hAnsi="Times New Roman" w:cs="Times New Roman"/>
          <w:sz w:val="24"/>
          <w:szCs w:val="24"/>
        </w:rPr>
      </w:pPr>
    </w:p>
    <w:p w14:paraId="11F0035B" w14:textId="542545BE" w:rsidR="000A6284" w:rsidRDefault="00D565EF" w:rsidP="00931455">
      <w:pPr>
        <w:spacing w:after="0"/>
        <w:jc w:val="both"/>
        <w:rPr>
          <w:rFonts w:ascii="Times New Roman" w:hAnsi="Times New Roman" w:cs="Times New Roman"/>
          <w:sz w:val="24"/>
          <w:szCs w:val="24"/>
        </w:rPr>
      </w:pPr>
      <w:r>
        <w:rPr>
          <w:rFonts w:ascii="Times New Roman" w:hAnsi="Times New Roman" w:cs="Times New Roman"/>
          <w:sz w:val="24"/>
          <w:szCs w:val="24"/>
        </w:rPr>
        <w:t xml:space="preserve">Only one reported case </w:t>
      </w:r>
      <w:r w:rsidR="005B2CA1">
        <w:rPr>
          <w:rFonts w:ascii="Times New Roman" w:hAnsi="Times New Roman" w:cs="Times New Roman"/>
          <w:sz w:val="24"/>
          <w:szCs w:val="24"/>
        </w:rPr>
        <w:t xml:space="preserve">clearly </w:t>
      </w:r>
      <w:r>
        <w:rPr>
          <w:rFonts w:ascii="Times New Roman" w:hAnsi="Times New Roman" w:cs="Times New Roman"/>
          <w:sz w:val="24"/>
          <w:szCs w:val="24"/>
        </w:rPr>
        <w:t>addresses whether a commercial screener violates the FCRA by reporting an expunged or sealed case</w:t>
      </w:r>
      <w:r w:rsidR="005B2CA1">
        <w:rPr>
          <w:rFonts w:ascii="Times New Roman" w:hAnsi="Times New Roman" w:cs="Times New Roman"/>
          <w:sz w:val="24"/>
          <w:szCs w:val="24"/>
        </w:rPr>
        <w:t>, although in dicta</w:t>
      </w:r>
      <w:r>
        <w:rPr>
          <w:rFonts w:ascii="Times New Roman" w:hAnsi="Times New Roman" w:cs="Times New Roman"/>
          <w:sz w:val="24"/>
          <w:szCs w:val="24"/>
        </w:rPr>
        <w:t xml:space="preserve">.  </w:t>
      </w:r>
      <w:r w:rsidR="000A6284">
        <w:rPr>
          <w:rFonts w:ascii="Times New Roman" w:hAnsi="Times New Roman" w:cs="Times New Roman"/>
          <w:sz w:val="24"/>
          <w:szCs w:val="24"/>
        </w:rPr>
        <w:t xml:space="preserve">In </w:t>
      </w:r>
      <w:r w:rsidR="000A6284" w:rsidRPr="00D565EF">
        <w:rPr>
          <w:rFonts w:ascii="Times New Roman" w:hAnsi="Times New Roman" w:cs="Times New Roman"/>
          <w:i/>
          <w:sz w:val="24"/>
          <w:szCs w:val="24"/>
        </w:rPr>
        <w:t>McNamara v. HireRight Solutions Inc.</w:t>
      </w:r>
      <w:r w:rsidR="000A6284">
        <w:rPr>
          <w:rFonts w:ascii="Times New Roman" w:hAnsi="Times New Roman" w:cs="Times New Roman"/>
          <w:sz w:val="24"/>
          <w:szCs w:val="24"/>
        </w:rPr>
        <w:t xml:space="preserve">, </w:t>
      </w:r>
      <w:r w:rsidR="000A6284" w:rsidRPr="000A6284">
        <w:rPr>
          <w:rFonts w:ascii="Times New Roman" w:hAnsi="Times New Roman" w:cs="Times New Roman"/>
          <w:sz w:val="24"/>
          <w:szCs w:val="24"/>
        </w:rPr>
        <w:t>2014 WL 321790</w:t>
      </w:r>
      <w:r w:rsidR="000A6284">
        <w:rPr>
          <w:rFonts w:ascii="Times New Roman" w:hAnsi="Times New Roman" w:cs="Times New Roman"/>
          <w:sz w:val="24"/>
          <w:szCs w:val="24"/>
        </w:rPr>
        <w:t xml:space="preserve"> (N.D. Ill. Jan. 29, 2014), the Court considered whether the screener had complied with the FCRA given how it had reported a case in which the person had received a diversionary sentence under Illinois la</w:t>
      </w:r>
      <w:r w:rsidR="00726834">
        <w:rPr>
          <w:rFonts w:ascii="Times New Roman" w:hAnsi="Times New Roman" w:cs="Times New Roman"/>
          <w:sz w:val="24"/>
          <w:szCs w:val="24"/>
        </w:rPr>
        <w:t xml:space="preserve">w.  </w:t>
      </w:r>
      <w:r w:rsidR="00726834" w:rsidRPr="00726834">
        <w:rPr>
          <w:rFonts w:ascii="Times New Roman" w:hAnsi="Times New Roman" w:cs="Times New Roman"/>
          <w:sz w:val="24"/>
          <w:szCs w:val="24"/>
        </w:rPr>
        <w:t xml:space="preserve">HireRight </w:t>
      </w:r>
      <w:r w:rsidR="005B2CA1">
        <w:rPr>
          <w:rFonts w:ascii="Times New Roman" w:hAnsi="Times New Roman" w:cs="Times New Roman"/>
          <w:sz w:val="24"/>
          <w:szCs w:val="24"/>
        </w:rPr>
        <w:t xml:space="preserve">reported the disposition </w:t>
      </w:r>
      <w:r w:rsidR="00726834" w:rsidRPr="00726834">
        <w:rPr>
          <w:rFonts w:ascii="Times New Roman" w:hAnsi="Times New Roman" w:cs="Times New Roman"/>
          <w:sz w:val="24"/>
          <w:szCs w:val="24"/>
        </w:rPr>
        <w:t>as “pled guilty-found guilty” and the sentence as “sup</w:t>
      </w:r>
      <w:r w:rsidR="00726834">
        <w:rPr>
          <w:rFonts w:ascii="Times New Roman" w:hAnsi="Times New Roman" w:cs="Times New Roman"/>
          <w:sz w:val="24"/>
          <w:szCs w:val="24"/>
        </w:rPr>
        <w:t>ervision terminated satisfactory,</w:t>
      </w:r>
      <w:r w:rsidR="00726834" w:rsidRPr="00726834">
        <w:rPr>
          <w:rFonts w:ascii="Times New Roman" w:hAnsi="Times New Roman" w:cs="Times New Roman"/>
          <w:sz w:val="24"/>
          <w:szCs w:val="24"/>
        </w:rPr>
        <w:t>”</w:t>
      </w:r>
      <w:r w:rsidR="00726834">
        <w:rPr>
          <w:rFonts w:ascii="Times New Roman" w:hAnsi="Times New Roman" w:cs="Times New Roman"/>
          <w:sz w:val="24"/>
          <w:szCs w:val="24"/>
        </w:rPr>
        <w:t xml:space="preserve"> which was concededly accurate.  But the plaintiff</w:t>
      </w:r>
      <w:r w:rsidR="00726834" w:rsidRPr="00726834">
        <w:rPr>
          <w:rFonts w:ascii="Times New Roman" w:hAnsi="Times New Roman" w:cs="Times New Roman"/>
          <w:sz w:val="24"/>
          <w:szCs w:val="24"/>
        </w:rPr>
        <w:t xml:space="preserve"> </w:t>
      </w:r>
      <w:r w:rsidR="00726834">
        <w:rPr>
          <w:rFonts w:ascii="Times New Roman" w:hAnsi="Times New Roman" w:cs="Times New Roman"/>
          <w:sz w:val="24"/>
          <w:szCs w:val="24"/>
        </w:rPr>
        <w:t>objected</w:t>
      </w:r>
      <w:r w:rsidR="00726834" w:rsidRPr="00726834">
        <w:rPr>
          <w:rFonts w:ascii="Times New Roman" w:hAnsi="Times New Roman" w:cs="Times New Roman"/>
          <w:sz w:val="24"/>
          <w:szCs w:val="24"/>
        </w:rPr>
        <w:t xml:space="preserve"> because it </w:t>
      </w:r>
      <w:r w:rsidR="00726834">
        <w:rPr>
          <w:rFonts w:ascii="Times New Roman" w:hAnsi="Times New Roman" w:cs="Times New Roman"/>
          <w:sz w:val="24"/>
          <w:szCs w:val="24"/>
        </w:rPr>
        <w:t>did not</w:t>
      </w:r>
      <w:r w:rsidR="00726834" w:rsidRPr="00726834">
        <w:rPr>
          <w:rFonts w:ascii="Times New Roman" w:hAnsi="Times New Roman" w:cs="Times New Roman"/>
          <w:sz w:val="24"/>
          <w:szCs w:val="24"/>
        </w:rPr>
        <w:t xml:space="preserve"> report a subsequent order </w:t>
      </w:r>
      <w:r w:rsidR="00726834">
        <w:rPr>
          <w:rFonts w:ascii="Times New Roman" w:hAnsi="Times New Roman" w:cs="Times New Roman"/>
          <w:sz w:val="24"/>
          <w:szCs w:val="24"/>
        </w:rPr>
        <w:t>discharging him</w:t>
      </w:r>
      <w:r w:rsidR="00726834" w:rsidRPr="00726834">
        <w:rPr>
          <w:rFonts w:ascii="Times New Roman" w:hAnsi="Times New Roman" w:cs="Times New Roman"/>
          <w:sz w:val="24"/>
          <w:szCs w:val="24"/>
        </w:rPr>
        <w:t xml:space="preserve"> as a defendant and dismissing the disorderly conduct charge against him.</w:t>
      </w:r>
      <w:r w:rsidR="00726834">
        <w:rPr>
          <w:rFonts w:ascii="Times New Roman" w:hAnsi="Times New Roman" w:cs="Times New Roman"/>
          <w:sz w:val="24"/>
          <w:szCs w:val="24"/>
        </w:rPr>
        <w:t xml:space="preserve"> </w:t>
      </w:r>
      <w:r w:rsidR="000A6284">
        <w:rPr>
          <w:rFonts w:ascii="Times New Roman" w:hAnsi="Times New Roman" w:cs="Times New Roman"/>
          <w:sz w:val="24"/>
          <w:szCs w:val="24"/>
        </w:rPr>
        <w:t xml:space="preserve"> The statutory scheme permitted the outcome to be expunged or sealed two years after discharge and</w:t>
      </w:r>
      <w:r w:rsidR="00726834">
        <w:rPr>
          <w:rFonts w:ascii="Times New Roman" w:hAnsi="Times New Roman" w:cs="Times New Roman"/>
          <w:sz w:val="24"/>
          <w:szCs w:val="24"/>
        </w:rPr>
        <w:t xml:space="preserve"> dismissal, but that record-clearing had not yet occurred.  </w:t>
      </w:r>
      <w:r w:rsidR="005B2CA1">
        <w:rPr>
          <w:rFonts w:ascii="Times New Roman" w:hAnsi="Times New Roman" w:cs="Times New Roman"/>
          <w:sz w:val="24"/>
          <w:szCs w:val="24"/>
        </w:rPr>
        <w:t>In rejecting the plaintiff’s position, t</w:t>
      </w:r>
      <w:r w:rsidR="00726834">
        <w:rPr>
          <w:rFonts w:ascii="Times New Roman" w:hAnsi="Times New Roman" w:cs="Times New Roman"/>
          <w:sz w:val="24"/>
          <w:szCs w:val="24"/>
        </w:rPr>
        <w:t xml:space="preserve">he </w:t>
      </w:r>
      <w:r w:rsidR="005B2CA1">
        <w:rPr>
          <w:rFonts w:ascii="Times New Roman" w:hAnsi="Times New Roman" w:cs="Times New Roman"/>
          <w:sz w:val="24"/>
          <w:szCs w:val="24"/>
        </w:rPr>
        <w:t>C</w:t>
      </w:r>
      <w:r w:rsidR="00726834">
        <w:rPr>
          <w:rFonts w:ascii="Times New Roman" w:hAnsi="Times New Roman" w:cs="Times New Roman"/>
          <w:sz w:val="24"/>
          <w:szCs w:val="24"/>
        </w:rPr>
        <w:t>ourt concluded:</w:t>
      </w:r>
    </w:p>
    <w:p w14:paraId="3FBD8476" w14:textId="77777777" w:rsidR="00726834" w:rsidRDefault="00726834" w:rsidP="00931455">
      <w:pPr>
        <w:spacing w:after="0"/>
        <w:jc w:val="both"/>
        <w:rPr>
          <w:rFonts w:ascii="Times New Roman" w:hAnsi="Times New Roman" w:cs="Times New Roman"/>
          <w:sz w:val="24"/>
          <w:szCs w:val="24"/>
        </w:rPr>
      </w:pPr>
    </w:p>
    <w:p w14:paraId="648F8ADE" w14:textId="77777777" w:rsidR="00726834" w:rsidRPr="000A6284" w:rsidRDefault="00726834" w:rsidP="00931455">
      <w:pPr>
        <w:spacing w:after="0" w:line="240" w:lineRule="auto"/>
        <w:ind w:left="720" w:right="720"/>
        <w:jc w:val="both"/>
        <w:rPr>
          <w:rFonts w:ascii="Times New Roman" w:hAnsi="Times New Roman" w:cs="Times New Roman"/>
          <w:sz w:val="24"/>
          <w:szCs w:val="24"/>
        </w:rPr>
      </w:pPr>
      <w:r w:rsidRPr="00726834">
        <w:rPr>
          <w:rFonts w:ascii="Times New Roman" w:eastAsia="Times New Roman" w:hAnsi="Times New Roman" w:cs="Times New Roman"/>
          <w:sz w:val="24"/>
          <w:szCs w:val="24"/>
        </w:rPr>
        <w:lastRenderedPageBreak/>
        <w:t>McNamara simply does not have a clean record.</w:t>
      </w:r>
      <w:r>
        <w:rPr>
          <w:rFonts w:ascii="Times New Roman" w:eastAsia="Times New Roman" w:hAnsi="Times New Roman" w:cs="Times New Roman"/>
          <w:sz w:val="24"/>
          <w:szCs w:val="24"/>
        </w:rPr>
        <w:t xml:space="preserve">  </w:t>
      </w:r>
      <w:r w:rsidRPr="00726834">
        <w:rPr>
          <w:rFonts w:ascii="Times New Roman" w:eastAsia="Times New Roman" w:hAnsi="Times New Roman" w:cs="Times New Roman"/>
          <w:sz w:val="24"/>
          <w:szCs w:val="24"/>
        </w:rPr>
        <w:t xml:space="preserve">He did not rid himself of his guilty plea or the Circuit Court's finding of guilt by completing his supervision, and </w:t>
      </w:r>
      <w:r w:rsidRPr="00726834">
        <w:rPr>
          <w:rFonts w:ascii="Times New Roman" w:eastAsia="Times New Roman" w:hAnsi="Times New Roman" w:cs="Times New Roman"/>
          <w:b/>
          <w:i/>
          <w:sz w:val="24"/>
          <w:szCs w:val="24"/>
        </w:rPr>
        <w:t>HireRight may continue to report both dispositions—until, of course, they are sealed or expunged</w:t>
      </w:r>
      <w:r w:rsidRPr="00726834">
        <w:rPr>
          <w:rFonts w:ascii="Times New Roman" w:eastAsia="Times New Roman" w:hAnsi="Times New Roman" w:cs="Times New Roman"/>
          <w:sz w:val="24"/>
          <w:szCs w:val="24"/>
        </w:rPr>
        <w:t>—without fear of liability under the FCRA.</w:t>
      </w:r>
    </w:p>
    <w:p w14:paraId="71CF44FB" w14:textId="77777777" w:rsidR="000A6284" w:rsidRDefault="000A6284" w:rsidP="00931455">
      <w:pPr>
        <w:jc w:val="both"/>
      </w:pPr>
    </w:p>
    <w:p w14:paraId="37964553" w14:textId="2D68DA0C" w:rsidR="000A6284" w:rsidRDefault="00F1647D" w:rsidP="00931455">
      <w:pPr>
        <w:spacing w:after="0"/>
        <w:jc w:val="both"/>
        <w:rPr>
          <w:rFonts w:ascii="Times New Roman" w:hAnsi="Times New Roman" w:cs="Times New Roman"/>
          <w:sz w:val="24"/>
          <w:szCs w:val="24"/>
        </w:rPr>
      </w:pPr>
      <w:r>
        <w:rPr>
          <w:rFonts w:ascii="Times New Roman" w:hAnsi="Times New Roman" w:cs="Times New Roman"/>
          <w:sz w:val="24"/>
          <w:szCs w:val="24"/>
        </w:rPr>
        <w:t>T</w:t>
      </w:r>
      <w:r w:rsidR="00D565EF" w:rsidRPr="00931455">
        <w:rPr>
          <w:rFonts w:ascii="Times New Roman" w:hAnsi="Times New Roman" w:cs="Times New Roman"/>
          <w:sz w:val="24"/>
          <w:szCs w:val="24"/>
        </w:rPr>
        <w:t>he commercial screening i</w:t>
      </w:r>
      <w:r w:rsidR="00931455" w:rsidRPr="00931455">
        <w:rPr>
          <w:rFonts w:ascii="Times New Roman" w:hAnsi="Times New Roman" w:cs="Times New Roman"/>
          <w:sz w:val="24"/>
          <w:szCs w:val="24"/>
        </w:rPr>
        <w:t xml:space="preserve">ndustry does not dispute that </w:t>
      </w:r>
      <w:r w:rsidR="00034AF1">
        <w:rPr>
          <w:rFonts w:ascii="Times New Roman" w:hAnsi="Times New Roman" w:cs="Times New Roman"/>
          <w:sz w:val="24"/>
          <w:szCs w:val="24"/>
        </w:rPr>
        <w:t>its members</w:t>
      </w:r>
      <w:r w:rsidR="00034AF1" w:rsidRPr="00931455">
        <w:rPr>
          <w:rFonts w:ascii="Times New Roman" w:hAnsi="Times New Roman" w:cs="Times New Roman"/>
          <w:sz w:val="24"/>
          <w:szCs w:val="24"/>
        </w:rPr>
        <w:t xml:space="preserve"> </w:t>
      </w:r>
      <w:r w:rsidR="00931455" w:rsidRPr="00931455">
        <w:rPr>
          <w:rFonts w:ascii="Times New Roman" w:hAnsi="Times New Roman" w:cs="Times New Roman"/>
          <w:sz w:val="24"/>
          <w:szCs w:val="24"/>
        </w:rPr>
        <w:t xml:space="preserve">should not report expunged or sealed cases – if they know </w:t>
      </w:r>
      <w:r w:rsidR="007D557E">
        <w:rPr>
          <w:rFonts w:ascii="Times New Roman" w:hAnsi="Times New Roman" w:cs="Times New Roman"/>
          <w:sz w:val="24"/>
          <w:szCs w:val="24"/>
        </w:rPr>
        <w:t>they have been expunged or sealed</w:t>
      </w:r>
      <w:r w:rsidR="00931455" w:rsidRPr="00931455">
        <w:rPr>
          <w:rFonts w:ascii="Times New Roman" w:hAnsi="Times New Roman" w:cs="Times New Roman"/>
          <w:sz w:val="24"/>
          <w:szCs w:val="24"/>
        </w:rPr>
        <w:t xml:space="preserve">.  </w:t>
      </w:r>
      <w:r w:rsidR="007D557E">
        <w:rPr>
          <w:rFonts w:ascii="Times New Roman" w:hAnsi="Times New Roman" w:cs="Times New Roman"/>
          <w:sz w:val="24"/>
          <w:szCs w:val="24"/>
        </w:rPr>
        <w:t>Instead</w:t>
      </w:r>
      <w:r w:rsidR="00931455" w:rsidRPr="00931455">
        <w:rPr>
          <w:rFonts w:ascii="Times New Roman" w:hAnsi="Times New Roman" w:cs="Times New Roman"/>
          <w:sz w:val="24"/>
          <w:szCs w:val="24"/>
        </w:rPr>
        <w:t>, they sometime</w:t>
      </w:r>
      <w:r w:rsidR="007D557E">
        <w:rPr>
          <w:rFonts w:ascii="Times New Roman" w:hAnsi="Times New Roman" w:cs="Times New Roman"/>
          <w:sz w:val="24"/>
          <w:szCs w:val="24"/>
        </w:rPr>
        <w:t>s</w:t>
      </w:r>
      <w:r w:rsidR="00931455" w:rsidRPr="00931455">
        <w:rPr>
          <w:rFonts w:ascii="Times New Roman" w:hAnsi="Times New Roman" w:cs="Times New Roman"/>
          <w:sz w:val="24"/>
          <w:szCs w:val="24"/>
        </w:rPr>
        <w:t xml:space="preserve"> contend that</w:t>
      </w:r>
      <w:r w:rsidR="005B2CA1">
        <w:rPr>
          <w:rFonts w:ascii="Times New Roman" w:hAnsi="Times New Roman" w:cs="Times New Roman"/>
          <w:sz w:val="24"/>
          <w:szCs w:val="24"/>
        </w:rPr>
        <w:t xml:space="preserve"> they have not violated the FCRA</w:t>
      </w:r>
      <w:r w:rsidR="00931455" w:rsidRPr="00931455">
        <w:rPr>
          <w:rFonts w:ascii="Times New Roman" w:hAnsi="Times New Roman" w:cs="Times New Roman"/>
          <w:sz w:val="24"/>
          <w:szCs w:val="24"/>
        </w:rPr>
        <w:t xml:space="preserve"> </w:t>
      </w:r>
      <w:r w:rsidR="007D557E">
        <w:rPr>
          <w:rFonts w:ascii="Times New Roman" w:hAnsi="Times New Roman" w:cs="Times New Roman"/>
          <w:sz w:val="24"/>
          <w:szCs w:val="24"/>
        </w:rPr>
        <w:t xml:space="preserve">when reporting criminal cases post-expungement or sealing </w:t>
      </w:r>
      <w:r w:rsidR="00931455" w:rsidRPr="00931455">
        <w:rPr>
          <w:rFonts w:ascii="Times New Roman" w:hAnsi="Times New Roman" w:cs="Times New Roman"/>
          <w:sz w:val="24"/>
          <w:szCs w:val="24"/>
        </w:rPr>
        <w:t xml:space="preserve">because they are unaware that cases in their databases have been expunged or sealed.  For more information on this issue, including steps that advocates can take to avoid expunged or sealed cases showing up on background checks, </w:t>
      </w:r>
      <w:r w:rsidR="00931455" w:rsidRPr="00BE7E16">
        <w:rPr>
          <w:rFonts w:ascii="Times New Roman" w:hAnsi="Times New Roman" w:cs="Times New Roman"/>
          <w:i/>
          <w:iCs/>
          <w:sz w:val="24"/>
          <w:szCs w:val="24"/>
        </w:rPr>
        <w:t>see</w:t>
      </w:r>
      <w:r w:rsidR="00931455" w:rsidRPr="00931455">
        <w:rPr>
          <w:rFonts w:ascii="Times New Roman" w:hAnsi="Times New Roman" w:cs="Times New Roman"/>
          <w:sz w:val="24"/>
          <w:szCs w:val="24"/>
        </w:rPr>
        <w:t xml:space="preserve"> Sharon M. Dietrich, “Ants under the Refrigerator? Removing Expunged Cases from Commercial Background Checks,” </w:t>
      </w:r>
      <w:r w:rsidR="00931455" w:rsidRPr="00931455">
        <w:rPr>
          <w:rFonts w:ascii="Times New Roman" w:hAnsi="Times New Roman" w:cs="Times New Roman"/>
          <w:i/>
          <w:sz w:val="24"/>
          <w:szCs w:val="24"/>
        </w:rPr>
        <w:t>Criminal Justice</w:t>
      </w:r>
      <w:r w:rsidR="00931455" w:rsidRPr="00931455">
        <w:rPr>
          <w:rFonts w:ascii="Times New Roman" w:hAnsi="Times New Roman" w:cs="Times New Roman"/>
          <w:sz w:val="24"/>
          <w:szCs w:val="24"/>
        </w:rPr>
        <w:t xml:space="preserve"> (American Bar Ass’n Section of Criminal Justice, W</w:t>
      </w:r>
      <w:r w:rsidR="00931455">
        <w:rPr>
          <w:rFonts w:ascii="Times New Roman" w:hAnsi="Times New Roman" w:cs="Times New Roman"/>
          <w:sz w:val="24"/>
          <w:szCs w:val="24"/>
        </w:rPr>
        <w:t>inter 2016).</w:t>
      </w:r>
    </w:p>
    <w:p w14:paraId="1AEE499C" w14:textId="77777777" w:rsidR="00530495" w:rsidRDefault="00530495" w:rsidP="00931455">
      <w:pPr>
        <w:spacing w:after="0"/>
        <w:jc w:val="both"/>
        <w:rPr>
          <w:rFonts w:ascii="Times New Roman" w:hAnsi="Times New Roman" w:cs="Times New Roman"/>
          <w:sz w:val="24"/>
          <w:szCs w:val="24"/>
        </w:rPr>
      </w:pPr>
    </w:p>
    <w:p w14:paraId="428AB1F3" w14:textId="7981C8EB" w:rsidR="00530495" w:rsidRPr="00530495" w:rsidRDefault="00530495" w:rsidP="00931455">
      <w:pPr>
        <w:spacing w:after="0"/>
        <w:jc w:val="both"/>
        <w:rPr>
          <w:rFonts w:ascii="Times New Roman" w:hAnsi="Times New Roman" w:cs="Times New Roman"/>
          <w:sz w:val="24"/>
          <w:szCs w:val="24"/>
        </w:rPr>
      </w:pPr>
      <w:r>
        <w:rPr>
          <w:rFonts w:ascii="Times New Roman" w:hAnsi="Times New Roman" w:cs="Times New Roman"/>
          <w:sz w:val="24"/>
          <w:szCs w:val="24"/>
        </w:rPr>
        <w:t xml:space="preserve">Finally, there is concern that reporting an expunged or sealed case </w:t>
      </w:r>
      <w:r w:rsidR="005E41F7">
        <w:rPr>
          <w:rFonts w:ascii="Times New Roman" w:hAnsi="Times New Roman" w:cs="Times New Roman"/>
          <w:sz w:val="24"/>
          <w:szCs w:val="24"/>
        </w:rPr>
        <w:t xml:space="preserve">could be considered </w:t>
      </w:r>
      <w:r>
        <w:rPr>
          <w:rFonts w:ascii="Times New Roman" w:hAnsi="Times New Roman" w:cs="Times New Roman"/>
          <w:sz w:val="24"/>
          <w:szCs w:val="24"/>
        </w:rPr>
        <w:t xml:space="preserve">“technically accurate,” because there was once a case that was publicly reportable.  But the weight of authority is against this technical accuracy approach.  </w:t>
      </w:r>
      <w:r>
        <w:rPr>
          <w:rFonts w:ascii="Times New Roman" w:hAnsi="Times New Roman" w:cs="Times New Roman"/>
          <w:i/>
          <w:sz w:val="24"/>
          <w:szCs w:val="24"/>
        </w:rPr>
        <w:t>See</w:t>
      </w:r>
      <w:r>
        <w:rPr>
          <w:rFonts w:ascii="Times New Roman" w:hAnsi="Times New Roman" w:cs="Times New Roman"/>
          <w:sz w:val="24"/>
          <w:szCs w:val="24"/>
        </w:rPr>
        <w:t xml:space="preserve"> </w:t>
      </w:r>
      <w:r>
        <w:rPr>
          <w:rFonts w:ascii="Times New Roman" w:hAnsi="Times New Roman" w:cs="Times New Roman"/>
          <w:i/>
          <w:sz w:val="24"/>
          <w:szCs w:val="24"/>
        </w:rPr>
        <w:t>Smith v. HireRight Solutions, Inc.,</w:t>
      </w:r>
      <w:r>
        <w:rPr>
          <w:rFonts w:ascii="Times New Roman" w:hAnsi="Times New Roman" w:cs="Times New Roman"/>
          <w:sz w:val="24"/>
          <w:szCs w:val="24"/>
        </w:rPr>
        <w:t xml:space="preserve"> 711 F. Supp. 2d 426, 433 n. 5 (E.D. Pa. 2010).  </w:t>
      </w:r>
      <w:r w:rsidR="00E57137">
        <w:rPr>
          <w:rFonts w:ascii="Times New Roman" w:hAnsi="Times New Roman" w:cs="Times New Roman"/>
          <w:sz w:val="24"/>
          <w:szCs w:val="24"/>
        </w:rPr>
        <w:t>Moreover, as o</w:t>
      </w:r>
      <w:r>
        <w:rPr>
          <w:rFonts w:ascii="Times New Roman" w:hAnsi="Times New Roman" w:cs="Times New Roman"/>
          <w:sz w:val="24"/>
          <w:szCs w:val="24"/>
        </w:rPr>
        <w:t>ne commentator has written, “</w:t>
      </w:r>
      <w:r w:rsidR="005E41F7">
        <w:rPr>
          <w:rFonts w:ascii="Times New Roman" w:hAnsi="Times New Roman" w:cs="Times New Roman"/>
          <w:sz w:val="24"/>
          <w:szCs w:val="24"/>
        </w:rPr>
        <w:t xml:space="preserve">[b]ecause </w:t>
      </w:r>
      <w:r>
        <w:rPr>
          <w:rFonts w:ascii="Times New Roman" w:hAnsi="Times New Roman" w:cs="Times New Roman"/>
          <w:sz w:val="24"/>
          <w:szCs w:val="24"/>
        </w:rPr>
        <w:t xml:space="preserve">Section 1681k(a)(2) requires that reports be complete and up to date, a [commercial screener] that reports a criminal record but left out a subsequent expungement would be foreclosed from using the technical accuracy approach as a defense.”  Noam Weiss, “NOTE: Combating Inaccuracies in Criminal Background Checks by Giving Meaning to the Fair Credit Reporting Act,” </w:t>
      </w:r>
      <w:r w:rsidRPr="00530495">
        <w:rPr>
          <w:rFonts w:ascii="Times New Roman" w:hAnsi="Times New Roman" w:cs="Times New Roman"/>
          <w:sz w:val="24"/>
          <w:szCs w:val="24"/>
        </w:rPr>
        <w:t>78</w:t>
      </w:r>
      <w:r>
        <w:rPr>
          <w:rFonts w:ascii="Times New Roman" w:hAnsi="Times New Roman" w:cs="Times New Roman"/>
          <w:i/>
          <w:sz w:val="24"/>
          <w:szCs w:val="24"/>
        </w:rPr>
        <w:t xml:space="preserve"> Brooklyn Law Rev. </w:t>
      </w:r>
      <w:r w:rsidRPr="00530495">
        <w:rPr>
          <w:rFonts w:ascii="Times New Roman" w:hAnsi="Times New Roman" w:cs="Times New Roman"/>
          <w:sz w:val="24"/>
          <w:szCs w:val="24"/>
        </w:rPr>
        <w:t>271,</w:t>
      </w:r>
      <w:r>
        <w:rPr>
          <w:rFonts w:ascii="Times New Roman" w:hAnsi="Times New Roman" w:cs="Times New Roman"/>
          <w:sz w:val="24"/>
          <w:szCs w:val="24"/>
        </w:rPr>
        <w:t xml:space="preserve"> 295 (Fall, 2012).</w:t>
      </w:r>
    </w:p>
    <w:p w14:paraId="5DD98DAB" w14:textId="77777777" w:rsidR="005B2CA1" w:rsidRDefault="005B2CA1" w:rsidP="00931455">
      <w:pPr>
        <w:spacing w:after="0"/>
        <w:jc w:val="both"/>
        <w:rPr>
          <w:rFonts w:ascii="Times New Roman" w:hAnsi="Times New Roman" w:cs="Times New Roman"/>
          <w:sz w:val="24"/>
          <w:szCs w:val="24"/>
        </w:rPr>
      </w:pPr>
    </w:p>
    <w:p w14:paraId="7E1CC384" w14:textId="7D573218" w:rsidR="005B2CA1" w:rsidRDefault="005B2CA1" w:rsidP="00BE7E16">
      <w:pPr>
        <w:rPr>
          <w:rFonts w:ascii="Times New Roman" w:hAnsi="Times New Roman" w:cs="Times New Roman"/>
          <w:sz w:val="24"/>
          <w:szCs w:val="24"/>
        </w:rPr>
      </w:pPr>
      <w:r w:rsidRPr="00BE7E16">
        <w:rPr>
          <w:rFonts w:ascii="Times New Roman" w:hAnsi="Times New Roman" w:cs="Times New Roman"/>
          <w:sz w:val="24"/>
          <w:szCs w:val="24"/>
        </w:rPr>
        <w:t>Bottom line</w:t>
      </w:r>
      <w:r>
        <w:rPr>
          <w:rFonts w:ascii="Times New Roman" w:hAnsi="Times New Roman" w:cs="Times New Roman"/>
          <w:sz w:val="24"/>
          <w:szCs w:val="24"/>
        </w:rPr>
        <w:t>: If a commercial screener has reported an expunged or sealed case and should have known better (if it had refreshed its data, verified the case’s existence by checking courthouse records, etc.), the FCRA is implicated</w:t>
      </w:r>
      <w:r w:rsidR="00034AF1">
        <w:rPr>
          <w:rFonts w:ascii="Times New Roman" w:hAnsi="Times New Roman" w:cs="Times New Roman"/>
          <w:sz w:val="24"/>
          <w:szCs w:val="24"/>
        </w:rPr>
        <w:t xml:space="preserve">, and a case can be made that both </w:t>
      </w:r>
      <w:r w:rsidR="00034AF1" w:rsidRPr="00034AF1">
        <w:rPr>
          <w:rFonts w:ascii="Times New Roman" w:hAnsi="Times New Roman" w:cs="Times New Roman"/>
          <w:sz w:val="24"/>
          <w:szCs w:val="24"/>
        </w:rPr>
        <w:t>15 U.S.C. §1681e(b)</w:t>
      </w:r>
      <w:r w:rsidR="00034AF1">
        <w:rPr>
          <w:rFonts w:ascii="Times New Roman" w:hAnsi="Times New Roman" w:cs="Times New Roman"/>
          <w:sz w:val="24"/>
          <w:szCs w:val="24"/>
        </w:rPr>
        <w:t xml:space="preserve"> and </w:t>
      </w:r>
      <w:r w:rsidR="00034AF1" w:rsidRPr="00034AF1">
        <w:rPr>
          <w:rFonts w:ascii="Times New Roman" w:hAnsi="Times New Roman" w:cs="Times New Roman"/>
          <w:sz w:val="24"/>
          <w:szCs w:val="24"/>
        </w:rPr>
        <w:t>15 U.S.C. §1681k</w:t>
      </w:r>
      <w:r w:rsidR="00034AF1">
        <w:rPr>
          <w:rFonts w:ascii="Times New Roman" w:hAnsi="Times New Roman" w:cs="Times New Roman"/>
          <w:sz w:val="24"/>
          <w:szCs w:val="24"/>
        </w:rPr>
        <w:t xml:space="preserve"> have been breached</w:t>
      </w:r>
      <w:r w:rsidR="00034AF1" w:rsidRPr="00034AF1">
        <w:rPr>
          <w:rFonts w:ascii="Times New Roman" w:hAnsi="Times New Roman" w:cs="Times New Roman"/>
          <w:sz w:val="24"/>
          <w:szCs w:val="24"/>
        </w:rPr>
        <w:t xml:space="preserve">. </w:t>
      </w:r>
    </w:p>
    <w:p w14:paraId="7AD4CFC2" w14:textId="77777777" w:rsidR="00BE7E16" w:rsidRDefault="00BE7E16" w:rsidP="00931455">
      <w:pPr>
        <w:spacing w:after="0"/>
        <w:jc w:val="both"/>
        <w:rPr>
          <w:rFonts w:ascii="Times New Roman" w:hAnsi="Times New Roman" w:cs="Times New Roman"/>
          <w:sz w:val="24"/>
          <w:szCs w:val="24"/>
        </w:rPr>
      </w:pPr>
    </w:p>
    <w:p w14:paraId="79BA936B" w14:textId="384EB642" w:rsidR="00B23582" w:rsidRPr="00B23582" w:rsidRDefault="005E41F7" w:rsidP="00931455">
      <w:pPr>
        <w:spacing w:after="0"/>
        <w:jc w:val="both"/>
        <w:rPr>
          <w:rFonts w:ascii="Times New Roman" w:hAnsi="Times New Roman" w:cs="Times New Roman"/>
          <w:sz w:val="24"/>
          <w:szCs w:val="24"/>
        </w:rPr>
      </w:pPr>
      <w:r>
        <w:rPr>
          <w:rFonts w:ascii="Times New Roman" w:hAnsi="Times New Roman" w:cs="Times New Roman"/>
          <w:sz w:val="24"/>
          <w:szCs w:val="24"/>
        </w:rPr>
        <w:t>A recent</w:t>
      </w:r>
      <w:r w:rsidR="00874292">
        <w:rPr>
          <w:rFonts w:ascii="Times New Roman" w:hAnsi="Times New Roman" w:cs="Times New Roman"/>
          <w:sz w:val="24"/>
          <w:szCs w:val="24"/>
        </w:rPr>
        <w:t xml:space="preserve"> ruling </w:t>
      </w:r>
      <w:r>
        <w:rPr>
          <w:rFonts w:ascii="Times New Roman" w:hAnsi="Times New Roman" w:cs="Times New Roman"/>
          <w:sz w:val="24"/>
          <w:szCs w:val="24"/>
        </w:rPr>
        <w:t>may have</w:t>
      </w:r>
      <w:r w:rsidR="00874292">
        <w:rPr>
          <w:rFonts w:ascii="Times New Roman" w:hAnsi="Times New Roman" w:cs="Times New Roman"/>
          <w:sz w:val="24"/>
          <w:szCs w:val="24"/>
        </w:rPr>
        <w:t xml:space="preserve"> an </w:t>
      </w:r>
      <w:r>
        <w:rPr>
          <w:rFonts w:ascii="Times New Roman" w:hAnsi="Times New Roman" w:cs="Times New Roman"/>
          <w:sz w:val="24"/>
          <w:szCs w:val="24"/>
        </w:rPr>
        <w:t xml:space="preserve">unwanted </w:t>
      </w:r>
      <w:r w:rsidR="00874292">
        <w:rPr>
          <w:rFonts w:ascii="Times New Roman" w:hAnsi="Times New Roman" w:cs="Times New Roman"/>
          <w:sz w:val="24"/>
          <w:szCs w:val="24"/>
        </w:rPr>
        <w:t>impact</w:t>
      </w:r>
      <w:r w:rsidR="00EA39D9">
        <w:rPr>
          <w:rFonts w:ascii="Times New Roman" w:hAnsi="Times New Roman" w:cs="Times New Roman"/>
          <w:sz w:val="24"/>
          <w:szCs w:val="24"/>
        </w:rPr>
        <w:t xml:space="preserve">, though.  In </w:t>
      </w:r>
      <w:r w:rsidR="00EA39D9">
        <w:rPr>
          <w:rFonts w:ascii="Times New Roman" w:hAnsi="Times New Roman" w:cs="Times New Roman"/>
          <w:i/>
          <w:sz w:val="24"/>
          <w:szCs w:val="24"/>
        </w:rPr>
        <w:t>Aldaco v. RentCrow, Inc.</w:t>
      </w:r>
      <w:r w:rsidR="00EA39D9">
        <w:rPr>
          <w:rFonts w:ascii="Times New Roman" w:hAnsi="Times New Roman" w:cs="Times New Roman"/>
          <w:sz w:val="24"/>
          <w:szCs w:val="24"/>
        </w:rPr>
        <w:t>, 921 F.3d 685 (7</w:t>
      </w:r>
      <w:r w:rsidR="00EA39D9" w:rsidRPr="00EA39D9">
        <w:rPr>
          <w:rFonts w:ascii="Times New Roman" w:hAnsi="Times New Roman" w:cs="Times New Roman"/>
          <w:sz w:val="24"/>
          <w:szCs w:val="24"/>
          <w:vertAlign w:val="superscript"/>
        </w:rPr>
        <w:t>th</w:t>
      </w:r>
      <w:r w:rsidR="00EA39D9">
        <w:rPr>
          <w:rFonts w:ascii="Times New Roman" w:hAnsi="Times New Roman" w:cs="Times New Roman"/>
          <w:sz w:val="24"/>
          <w:szCs w:val="24"/>
        </w:rPr>
        <w:t xml:space="preserve"> Cir. 2019), the Seventh Circuit ruled that </w:t>
      </w:r>
      <w:r w:rsidR="00034AF1">
        <w:rPr>
          <w:rFonts w:ascii="Times New Roman" w:hAnsi="Times New Roman" w:cs="Times New Roman"/>
          <w:sz w:val="24"/>
          <w:szCs w:val="24"/>
        </w:rPr>
        <w:t xml:space="preserve">what constitutes a </w:t>
      </w:r>
      <w:r w:rsidR="00EA39D9">
        <w:rPr>
          <w:rFonts w:ascii="Times New Roman" w:hAnsi="Times New Roman" w:cs="Times New Roman"/>
          <w:sz w:val="24"/>
          <w:szCs w:val="24"/>
        </w:rPr>
        <w:t xml:space="preserve">“conviction” for purposes of the FCRA is defined by federal law, not state law.  According to the court, a state criminal case </w:t>
      </w:r>
      <w:r>
        <w:rPr>
          <w:rFonts w:ascii="Times New Roman" w:hAnsi="Times New Roman" w:cs="Times New Roman"/>
          <w:sz w:val="24"/>
          <w:szCs w:val="24"/>
        </w:rPr>
        <w:t>terminates in a</w:t>
      </w:r>
      <w:r w:rsidR="00EA39D9">
        <w:rPr>
          <w:rFonts w:ascii="Times New Roman" w:hAnsi="Times New Roman" w:cs="Times New Roman"/>
          <w:sz w:val="24"/>
          <w:szCs w:val="24"/>
        </w:rPr>
        <w:t xml:space="preserve"> “conviction” if there has been a </w:t>
      </w:r>
      <w:r w:rsidR="00034AF1">
        <w:rPr>
          <w:rFonts w:ascii="Times New Roman" w:hAnsi="Times New Roman" w:cs="Times New Roman"/>
          <w:sz w:val="24"/>
          <w:szCs w:val="24"/>
        </w:rPr>
        <w:t>guilty plea</w:t>
      </w:r>
      <w:r w:rsidR="00EA39D9">
        <w:rPr>
          <w:rFonts w:ascii="Times New Roman" w:hAnsi="Times New Roman" w:cs="Times New Roman"/>
          <w:sz w:val="24"/>
          <w:szCs w:val="24"/>
        </w:rPr>
        <w:t xml:space="preserve">, even if the ultimate outcome </w:t>
      </w:r>
      <w:r w:rsidR="0036120B">
        <w:rPr>
          <w:rFonts w:ascii="Times New Roman" w:hAnsi="Times New Roman" w:cs="Times New Roman"/>
          <w:sz w:val="24"/>
          <w:szCs w:val="24"/>
        </w:rPr>
        <w:t>i</w:t>
      </w:r>
      <w:r w:rsidR="00034AF1">
        <w:rPr>
          <w:rFonts w:ascii="Times New Roman" w:hAnsi="Times New Roman" w:cs="Times New Roman"/>
          <w:sz w:val="24"/>
          <w:szCs w:val="24"/>
        </w:rPr>
        <w:t>s</w:t>
      </w:r>
      <w:r w:rsidR="00EA39D9">
        <w:rPr>
          <w:rFonts w:ascii="Times New Roman" w:hAnsi="Times New Roman" w:cs="Times New Roman"/>
          <w:sz w:val="24"/>
          <w:szCs w:val="24"/>
        </w:rPr>
        <w:t xml:space="preserve"> a </w:t>
      </w:r>
      <w:r w:rsidR="0036120B">
        <w:rPr>
          <w:rFonts w:ascii="Times New Roman" w:hAnsi="Times New Roman" w:cs="Times New Roman"/>
          <w:sz w:val="24"/>
          <w:szCs w:val="24"/>
        </w:rPr>
        <w:t>dismissal after completion of a</w:t>
      </w:r>
      <w:r w:rsidR="00EA39D9">
        <w:rPr>
          <w:rFonts w:ascii="Times New Roman" w:hAnsi="Times New Roman" w:cs="Times New Roman"/>
          <w:sz w:val="24"/>
          <w:szCs w:val="24"/>
        </w:rPr>
        <w:t xml:space="preserve"> diversionary program.  </w:t>
      </w:r>
      <w:r w:rsidR="00EA39D9">
        <w:rPr>
          <w:rFonts w:ascii="Times New Roman" w:hAnsi="Times New Roman" w:cs="Times New Roman"/>
          <w:i/>
          <w:sz w:val="24"/>
          <w:szCs w:val="24"/>
        </w:rPr>
        <w:t>Id.</w:t>
      </w:r>
      <w:r w:rsidR="00EA39D9">
        <w:rPr>
          <w:rFonts w:ascii="Times New Roman" w:hAnsi="Times New Roman" w:cs="Times New Roman"/>
          <w:sz w:val="24"/>
          <w:szCs w:val="24"/>
        </w:rPr>
        <w:t xml:space="preserve"> at 689.  Would the outcome </w:t>
      </w:r>
      <w:r w:rsidR="0036120B">
        <w:rPr>
          <w:rFonts w:ascii="Times New Roman" w:hAnsi="Times New Roman" w:cs="Times New Roman"/>
          <w:sz w:val="24"/>
          <w:szCs w:val="24"/>
        </w:rPr>
        <w:t xml:space="preserve">here </w:t>
      </w:r>
      <w:r w:rsidR="00EA39D9">
        <w:rPr>
          <w:rFonts w:ascii="Times New Roman" w:hAnsi="Times New Roman" w:cs="Times New Roman"/>
          <w:sz w:val="24"/>
          <w:szCs w:val="24"/>
        </w:rPr>
        <w:t xml:space="preserve">have been different if </w:t>
      </w:r>
      <w:r w:rsidR="0036120B">
        <w:rPr>
          <w:rFonts w:ascii="Times New Roman" w:hAnsi="Times New Roman" w:cs="Times New Roman"/>
          <w:sz w:val="24"/>
          <w:szCs w:val="24"/>
        </w:rPr>
        <w:t xml:space="preserve">Ms. Adalco’s </w:t>
      </w:r>
      <w:r w:rsidR="00034AF1">
        <w:rPr>
          <w:rFonts w:ascii="Times New Roman" w:hAnsi="Times New Roman" w:cs="Times New Roman"/>
          <w:sz w:val="24"/>
          <w:szCs w:val="24"/>
        </w:rPr>
        <w:t xml:space="preserve">criminal </w:t>
      </w:r>
      <w:r w:rsidR="00EA39D9">
        <w:rPr>
          <w:rFonts w:ascii="Times New Roman" w:hAnsi="Times New Roman" w:cs="Times New Roman"/>
          <w:sz w:val="24"/>
          <w:szCs w:val="24"/>
        </w:rPr>
        <w:t>case had been expunged</w:t>
      </w:r>
      <w:r w:rsidR="00034AF1">
        <w:rPr>
          <w:rFonts w:ascii="Times New Roman" w:hAnsi="Times New Roman" w:cs="Times New Roman"/>
          <w:sz w:val="24"/>
          <w:szCs w:val="24"/>
        </w:rPr>
        <w:t xml:space="preserve"> – relief </w:t>
      </w:r>
      <w:r w:rsidR="0036120B">
        <w:rPr>
          <w:rFonts w:ascii="Times New Roman" w:hAnsi="Times New Roman" w:cs="Times New Roman"/>
          <w:sz w:val="24"/>
          <w:szCs w:val="24"/>
        </w:rPr>
        <w:t>she</w:t>
      </w:r>
      <w:r w:rsidR="00034AF1">
        <w:rPr>
          <w:rFonts w:ascii="Times New Roman" w:hAnsi="Times New Roman" w:cs="Times New Roman"/>
          <w:sz w:val="24"/>
          <w:szCs w:val="24"/>
        </w:rPr>
        <w:t xml:space="preserve"> could have sought in state court but did not</w:t>
      </w:r>
      <w:r w:rsidR="00EA39D9">
        <w:rPr>
          <w:rFonts w:ascii="Times New Roman" w:hAnsi="Times New Roman" w:cs="Times New Roman"/>
          <w:sz w:val="24"/>
          <w:szCs w:val="24"/>
        </w:rPr>
        <w:t xml:space="preserve">?  </w:t>
      </w:r>
      <w:r w:rsidR="0036120B">
        <w:rPr>
          <w:rFonts w:ascii="Times New Roman" w:hAnsi="Times New Roman" w:cs="Times New Roman"/>
          <w:sz w:val="24"/>
          <w:szCs w:val="24"/>
        </w:rPr>
        <w:t xml:space="preserve"> Following this decision, a</w:t>
      </w:r>
      <w:r w:rsidR="00EA39D9">
        <w:rPr>
          <w:rFonts w:ascii="Times New Roman" w:hAnsi="Times New Roman" w:cs="Times New Roman"/>
          <w:sz w:val="24"/>
          <w:szCs w:val="24"/>
        </w:rPr>
        <w:t xml:space="preserve">rguments from counsel </w:t>
      </w:r>
      <w:r>
        <w:rPr>
          <w:rFonts w:ascii="Times New Roman" w:hAnsi="Times New Roman" w:cs="Times New Roman"/>
          <w:sz w:val="24"/>
          <w:szCs w:val="24"/>
        </w:rPr>
        <w:t>for the background screen</w:t>
      </w:r>
      <w:r w:rsidR="0036120B">
        <w:rPr>
          <w:rFonts w:ascii="Times New Roman" w:hAnsi="Times New Roman" w:cs="Times New Roman"/>
          <w:sz w:val="24"/>
          <w:szCs w:val="24"/>
        </w:rPr>
        <w:t>ing industry</w:t>
      </w:r>
      <w:r>
        <w:rPr>
          <w:rFonts w:ascii="Times New Roman" w:hAnsi="Times New Roman" w:cs="Times New Roman"/>
          <w:sz w:val="24"/>
          <w:szCs w:val="24"/>
        </w:rPr>
        <w:t xml:space="preserve"> </w:t>
      </w:r>
      <w:r w:rsidR="00EA39D9">
        <w:rPr>
          <w:rFonts w:ascii="Times New Roman" w:hAnsi="Times New Roman" w:cs="Times New Roman"/>
          <w:sz w:val="24"/>
          <w:szCs w:val="24"/>
        </w:rPr>
        <w:t>that an expunged or sealed conviction does not cease to be a “</w:t>
      </w:r>
      <w:r w:rsidR="0036120B">
        <w:rPr>
          <w:rFonts w:ascii="Times New Roman" w:hAnsi="Times New Roman" w:cs="Times New Roman"/>
          <w:sz w:val="24"/>
          <w:szCs w:val="24"/>
        </w:rPr>
        <w:t xml:space="preserve">conviction” </w:t>
      </w:r>
      <w:r w:rsidR="00EA39D9">
        <w:rPr>
          <w:rFonts w:ascii="Times New Roman" w:hAnsi="Times New Roman" w:cs="Times New Roman"/>
          <w:sz w:val="24"/>
          <w:szCs w:val="24"/>
        </w:rPr>
        <w:t xml:space="preserve">for FCRA purposes </w:t>
      </w:r>
      <w:r w:rsidR="0036120B">
        <w:rPr>
          <w:rFonts w:ascii="Times New Roman" w:hAnsi="Times New Roman" w:cs="Times New Roman"/>
          <w:sz w:val="24"/>
          <w:szCs w:val="24"/>
        </w:rPr>
        <w:t xml:space="preserve">– and can continue to be reported – </w:t>
      </w:r>
      <w:r w:rsidR="00EA39D9">
        <w:rPr>
          <w:rFonts w:ascii="Times New Roman" w:hAnsi="Times New Roman" w:cs="Times New Roman"/>
          <w:sz w:val="24"/>
          <w:szCs w:val="24"/>
        </w:rPr>
        <w:t xml:space="preserve">can be anticipated.  </w:t>
      </w:r>
      <w:r w:rsidR="00B23582">
        <w:rPr>
          <w:rFonts w:ascii="Times New Roman" w:hAnsi="Times New Roman" w:cs="Times New Roman"/>
          <w:sz w:val="24"/>
          <w:szCs w:val="24"/>
        </w:rPr>
        <w:t xml:space="preserve">In responding to such an argument, one might note that the </w:t>
      </w:r>
      <w:r w:rsidR="00B23582">
        <w:rPr>
          <w:rFonts w:ascii="Times New Roman" w:hAnsi="Times New Roman" w:cs="Times New Roman"/>
          <w:i/>
          <w:sz w:val="24"/>
          <w:szCs w:val="24"/>
        </w:rPr>
        <w:t>Aldaco</w:t>
      </w:r>
      <w:r w:rsidR="00B23582">
        <w:rPr>
          <w:rFonts w:ascii="Times New Roman" w:hAnsi="Times New Roman" w:cs="Times New Roman"/>
          <w:sz w:val="24"/>
          <w:szCs w:val="24"/>
        </w:rPr>
        <w:t xml:space="preserve"> claim arose under 15 U.S.C. §1681c c(a) (limiting the time during which non-convictions can be reported), not under </w:t>
      </w:r>
      <w:r w:rsidR="00B23582" w:rsidRPr="00034AF1">
        <w:rPr>
          <w:rFonts w:ascii="Times New Roman" w:hAnsi="Times New Roman" w:cs="Times New Roman"/>
          <w:sz w:val="24"/>
          <w:szCs w:val="24"/>
        </w:rPr>
        <w:t>15 U.S.C. §1681e(b)</w:t>
      </w:r>
      <w:r w:rsidR="00B23582">
        <w:rPr>
          <w:rFonts w:ascii="Times New Roman" w:hAnsi="Times New Roman" w:cs="Times New Roman"/>
          <w:sz w:val="24"/>
          <w:szCs w:val="24"/>
        </w:rPr>
        <w:t xml:space="preserve"> (accuracy claims) or </w:t>
      </w:r>
      <w:r w:rsidR="00B23582" w:rsidRPr="00034AF1">
        <w:rPr>
          <w:rFonts w:ascii="Times New Roman" w:hAnsi="Times New Roman" w:cs="Times New Roman"/>
          <w:sz w:val="24"/>
          <w:szCs w:val="24"/>
        </w:rPr>
        <w:t>§1681k</w:t>
      </w:r>
      <w:r w:rsidR="00B23582">
        <w:rPr>
          <w:rFonts w:ascii="Times New Roman" w:hAnsi="Times New Roman" w:cs="Times New Roman"/>
          <w:sz w:val="24"/>
          <w:szCs w:val="24"/>
        </w:rPr>
        <w:t xml:space="preserve"> (strict procedures/up-to-date information).  Also, one might look to state record-clearing law for any right for the client not to reveal an expunged or sealed case.</w:t>
      </w:r>
    </w:p>
    <w:p w14:paraId="433B578C" w14:textId="77777777" w:rsidR="00B23582" w:rsidRDefault="00B23582" w:rsidP="00931455">
      <w:pPr>
        <w:spacing w:after="0"/>
        <w:jc w:val="both"/>
        <w:rPr>
          <w:rFonts w:ascii="Times New Roman" w:hAnsi="Times New Roman" w:cs="Times New Roman"/>
          <w:sz w:val="24"/>
          <w:szCs w:val="24"/>
        </w:rPr>
      </w:pPr>
    </w:p>
    <w:p w14:paraId="4E225D46" w14:textId="77777777" w:rsidR="005B2CA1" w:rsidRDefault="005B2CA1" w:rsidP="00931455">
      <w:pPr>
        <w:spacing w:after="0"/>
        <w:jc w:val="both"/>
        <w:rPr>
          <w:rFonts w:ascii="Times New Roman" w:hAnsi="Times New Roman" w:cs="Times New Roman"/>
          <w:sz w:val="24"/>
          <w:szCs w:val="24"/>
        </w:rPr>
      </w:pPr>
      <w:r>
        <w:rPr>
          <w:rFonts w:ascii="Times New Roman" w:hAnsi="Times New Roman" w:cs="Times New Roman"/>
          <w:sz w:val="24"/>
          <w:szCs w:val="24"/>
        </w:rPr>
        <w:t xml:space="preserve">For more information, contact Sharon Dietrich, </w:t>
      </w:r>
      <w:r w:rsidRPr="005B2CA1">
        <w:rPr>
          <w:rFonts w:ascii="Times New Roman" w:hAnsi="Times New Roman" w:cs="Times New Roman"/>
          <w:sz w:val="24"/>
          <w:szCs w:val="24"/>
        </w:rPr>
        <w:t>Community Legal Services, Inc</w:t>
      </w:r>
      <w:r>
        <w:rPr>
          <w:rFonts w:ascii="Times New Roman" w:hAnsi="Times New Roman" w:cs="Times New Roman"/>
          <w:sz w:val="24"/>
          <w:szCs w:val="24"/>
        </w:rPr>
        <w:t xml:space="preserve">., at </w:t>
      </w:r>
      <w:hyperlink r:id="rId8" w:history="1">
        <w:r w:rsidRPr="000B147D">
          <w:rPr>
            <w:rStyle w:val="Hyperlink"/>
            <w:rFonts w:ascii="Times New Roman" w:hAnsi="Times New Roman" w:cs="Times New Roman"/>
            <w:sz w:val="24"/>
            <w:szCs w:val="24"/>
          </w:rPr>
          <w:t>sdietrich@clsphila.org</w:t>
        </w:r>
      </w:hyperlink>
      <w:r>
        <w:rPr>
          <w:rFonts w:ascii="Times New Roman" w:hAnsi="Times New Roman" w:cs="Times New Roman"/>
          <w:sz w:val="24"/>
          <w:szCs w:val="24"/>
        </w:rPr>
        <w:t>.</w:t>
      </w:r>
    </w:p>
    <w:p w14:paraId="17611BC7" w14:textId="77777777" w:rsidR="005B2CA1" w:rsidRPr="00931455" w:rsidRDefault="005B2CA1" w:rsidP="00931455">
      <w:pPr>
        <w:spacing w:after="0"/>
        <w:jc w:val="both"/>
        <w:rPr>
          <w:rFonts w:ascii="Times New Roman" w:hAnsi="Times New Roman" w:cs="Times New Roman"/>
          <w:sz w:val="24"/>
          <w:szCs w:val="24"/>
        </w:rPr>
      </w:pPr>
      <w:bookmarkStart w:id="1" w:name="_GoBack"/>
      <w:bookmarkEnd w:id="1"/>
    </w:p>
    <w:sectPr w:rsidR="005B2CA1" w:rsidRPr="00931455">
      <w:headerReference w:type="default"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5F7533" w16cid:durableId="21603757"/>
  <w16cid:commentId w16cid:paraId="129045C5" w16cid:durableId="21603C48"/>
  <w16cid:commentId w16cid:paraId="393B6E9F" w16cid:durableId="21603A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904D0" w14:textId="77777777" w:rsidR="001D6D0B" w:rsidRDefault="001D6D0B" w:rsidP="001D6D0B">
      <w:pPr>
        <w:spacing w:after="0" w:line="240" w:lineRule="auto"/>
      </w:pPr>
      <w:r>
        <w:separator/>
      </w:r>
    </w:p>
  </w:endnote>
  <w:endnote w:type="continuationSeparator" w:id="0">
    <w:p w14:paraId="7DBDC7F7" w14:textId="77777777" w:rsidR="001D6D0B" w:rsidRDefault="001D6D0B" w:rsidP="001D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627113"/>
      <w:docPartObj>
        <w:docPartGallery w:val="Page Numbers (Bottom of Page)"/>
        <w:docPartUnique/>
      </w:docPartObj>
    </w:sdtPr>
    <w:sdtEndPr>
      <w:rPr>
        <w:noProof/>
      </w:rPr>
    </w:sdtEndPr>
    <w:sdtContent>
      <w:p w14:paraId="57EA2FF6" w14:textId="160ECAB3" w:rsidR="001D6D0B" w:rsidRDefault="001D6D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23CC6C7" w14:textId="77777777" w:rsidR="001D6D0B" w:rsidRDefault="001D6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C4450" w14:textId="77777777" w:rsidR="001D6D0B" w:rsidRDefault="001D6D0B" w:rsidP="001D6D0B">
      <w:pPr>
        <w:spacing w:after="0" w:line="240" w:lineRule="auto"/>
      </w:pPr>
      <w:r>
        <w:separator/>
      </w:r>
    </w:p>
  </w:footnote>
  <w:footnote w:type="continuationSeparator" w:id="0">
    <w:p w14:paraId="50D1A3C1" w14:textId="77777777" w:rsidR="001D6D0B" w:rsidRDefault="001D6D0B" w:rsidP="001D6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4178" w14:textId="329BB136" w:rsidR="001D6D0B" w:rsidRDefault="001D6D0B">
    <w:pPr>
      <w:pStyle w:val="Header"/>
    </w:pPr>
    <w:r>
      <w:rPr>
        <w:noProof/>
      </w:rPr>
      <w:drawing>
        <wp:inline distT="0" distB="0" distL="0" distR="0" wp14:anchorId="04788636" wp14:editId="07809D0C">
          <wp:extent cx="5943600" cy="1128993"/>
          <wp:effectExtent l="0" t="0" r="0" b="0"/>
          <wp:docPr id="2" name="Picture 2" descr="cid:image001.jpg@01D58F1A.6C454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8F1A.6C454B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28993"/>
                  </a:xfrm>
                  <a:prstGeom prst="rect">
                    <a:avLst/>
                  </a:prstGeom>
                  <a:noFill/>
                  <a:ln>
                    <a:noFill/>
                  </a:ln>
                </pic:spPr>
              </pic:pic>
            </a:graphicData>
          </a:graphic>
        </wp:inline>
      </w:drawing>
    </w:r>
  </w:p>
  <w:p w14:paraId="7005399F" w14:textId="77777777" w:rsidR="001D6D0B" w:rsidRDefault="001D6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022062"/>
    <w:lvl w:ilvl="0">
      <w:numFmt w:val="bullet"/>
      <w:lvlText w:val="*"/>
      <w:lvlJc w:val="left"/>
    </w:lvl>
  </w:abstractNum>
  <w:abstractNum w:abstractNumId="1" w15:restartNumberingAfterBreak="0">
    <w:nsid w:val="165A1F3F"/>
    <w:multiLevelType w:val="hybridMultilevel"/>
    <w:tmpl w:val="D656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7B"/>
    <w:rsid w:val="00034AF1"/>
    <w:rsid w:val="000A6284"/>
    <w:rsid w:val="001D6D0B"/>
    <w:rsid w:val="0026547B"/>
    <w:rsid w:val="0036120B"/>
    <w:rsid w:val="00530495"/>
    <w:rsid w:val="005B2CA1"/>
    <w:rsid w:val="005E41F7"/>
    <w:rsid w:val="005E5B44"/>
    <w:rsid w:val="00726834"/>
    <w:rsid w:val="007D557E"/>
    <w:rsid w:val="00866A86"/>
    <w:rsid w:val="00874292"/>
    <w:rsid w:val="00931455"/>
    <w:rsid w:val="00B04B14"/>
    <w:rsid w:val="00B23582"/>
    <w:rsid w:val="00BE7E16"/>
    <w:rsid w:val="00D565EF"/>
    <w:rsid w:val="00E57137"/>
    <w:rsid w:val="00EA39D9"/>
    <w:rsid w:val="00F1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029B"/>
  <w15:chartTrackingRefBased/>
  <w15:docId w15:val="{5DFF70C8-F0FF-487D-ADD3-76E49259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E5B44"/>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D565EF"/>
    <w:pPr>
      <w:spacing w:after="0" w:line="240" w:lineRule="auto"/>
      <w:ind w:left="720"/>
      <w:contextualSpacing/>
    </w:pPr>
    <w:rPr>
      <w:rFonts w:ascii="Times New Roman" w:hAnsi="Times New Roman"/>
      <w:sz w:val="24"/>
    </w:rPr>
  </w:style>
  <w:style w:type="character" w:styleId="Hyperlink">
    <w:name w:val="Hyperlink"/>
    <w:basedOn w:val="DefaultParagraphFont"/>
    <w:uiPriority w:val="99"/>
    <w:unhideWhenUsed/>
    <w:rsid w:val="005B2CA1"/>
    <w:rPr>
      <w:color w:val="0563C1" w:themeColor="hyperlink"/>
      <w:u w:val="single"/>
    </w:rPr>
  </w:style>
  <w:style w:type="character" w:styleId="CommentReference">
    <w:name w:val="annotation reference"/>
    <w:basedOn w:val="DefaultParagraphFont"/>
    <w:uiPriority w:val="99"/>
    <w:semiHidden/>
    <w:unhideWhenUsed/>
    <w:rsid w:val="007D557E"/>
    <w:rPr>
      <w:sz w:val="16"/>
      <w:szCs w:val="16"/>
    </w:rPr>
  </w:style>
  <w:style w:type="paragraph" w:styleId="CommentText">
    <w:name w:val="annotation text"/>
    <w:basedOn w:val="Normal"/>
    <w:link w:val="CommentTextChar"/>
    <w:uiPriority w:val="99"/>
    <w:semiHidden/>
    <w:unhideWhenUsed/>
    <w:rsid w:val="007D557E"/>
    <w:pPr>
      <w:spacing w:line="240" w:lineRule="auto"/>
    </w:pPr>
    <w:rPr>
      <w:sz w:val="20"/>
      <w:szCs w:val="20"/>
    </w:rPr>
  </w:style>
  <w:style w:type="character" w:customStyle="1" w:styleId="CommentTextChar">
    <w:name w:val="Comment Text Char"/>
    <w:basedOn w:val="DefaultParagraphFont"/>
    <w:link w:val="CommentText"/>
    <w:uiPriority w:val="99"/>
    <w:semiHidden/>
    <w:rsid w:val="007D557E"/>
    <w:rPr>
      <w:sz w:val="20"/>
      <w:szCs w:val="20"/>
    </w:rPr>
  </w:style>
  <w:style w:type="paragraph" w:styleId="CommentSubject">
    <w:name w:val="annotation subject"/>
    <w:basedOn w:val="CommentText"/>
    <w:next w:val="CommentText"/>
    <w:link w:val="CommentSubjectChar"/>
    <w:uiPriority w:val="99"/>
    <w:semiHidden/>
    <w:unhideWhenUsed/>
    <w:rsid w:val="007D557E"/>
    <w:rPr>
      <w:b/>
      <w:bCs/>
    </w:rPr>
  </w:style>
  <w:style w:type="character" w:customStyle="1" w:styleId="CommentSubjectChar">
    <w:name w:val="Comment Subject Char"/>
    <w:basedOn w:val="CommentTextChar"/>
    <w:link w:val="CommentSubject"/>
    <w:uiPriority w:val="99"/>
    <w:semiHidden/>
    <w:rsid w:val="007D557E"/>
    <w:rPr>
      <w:b/>
      <w:bCs/>
      <w:sz w:val="20"/>
      <w:szCs w:val="20"/>
    </w:rPr>
  </w:style>
  <w:style w:type="paragraph" w:styleId="BalloonText">
    <w:name w:val="Balloon Text"/>
    <w:basedOn w:val="Normal"/>
    <w:link w:val="BalloonTextChar"/>
    <w:uiPriority w:val="99"/>
    <w:semiHidden/>
    <w:unhideWhenUsed/>
    <w:rsid w:val="007D5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57E"/>
    <w:rPr>
      <w:rFonts w:ascii="Segoe UI" w:hAnsi="Segoe UI" w:cs="Segoe UI"/>
      <w:sz w:val="18"/>
      <w:szCs w:val="18"/>
    </w:rPr>
  </w:style>
  <w:style w:type="paragraph" w:styleId="Revision">
    <w:name w:val="Revision"/>
    <w:hidden/>
    <w:uiPriority w:val="99"/>
    <w:semiHidden/>
    <w:rsid w:val="00034AF1"/>
    <w:pPr>
      <w:spacing w:after="0" w:line="240" w:lineRule="auto"/>
    </w:pPr>
  </w:style>
  <w:style w:type="paragraph" w:styleId="Header">
    <w:name w:val="header"/>
    <w:basedOn w:val="Normal"/>
    <w:link w:val="HeaderChar"/>
    <w:uiPriority w:val="99"/>
    <w:unhideWhenUsed/>
    <w:rsid w:val="001D6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0B"/>
  </w:style>
  <w:style w:type="paragraph" w:styleId="Footer">
    <w:name w:val="footer"/>
    <w:basedOn w:val="Normal"/>
    <w:link w:val="FooterChar"/>
    <w:uiPriority w:val="99"/>
    <w:unhideWhenUsed/>
    <w:rsid w:val="001D6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0B"/>
  </w:style>
  <w:style w:type="paragraph" w:styleId="FootnoteText">
    <w:name w:val="footnote text"/>
    <w:basedOn w:val="Normal"/>
    <w:link w:val="FootnoteTextChar"/>
    <w:uiPriority w:val="99"/>
    <w:semiHidden/>
    <w:unhideWhenUsed/>
    <w:rsid w:val="001D6D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D0B"/>
    <w:rPr>
      <w:sz w:val="20"/>
      <w:szCs w:val="20"/>
    </w:rPr>
  </w:style>
  <w:style w:type="character" w:styleId="FootnoteReference">
    <w:name w:val="footnote reference"/>
    <w:basedOn w:val="DefaultParagraphFont"/>
    <w:uiPriority w:val="99"/>
    <w:semiHidden/>
    <w:unhideWhenUsed/>
    <w:rsid w:val="001D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038819">
      <w:bodyDiv w:val="1"/>
      <w:marLeft w:val="0"/>
      <w:marRight w:val="0"/>
      <w:marTop w:val="0"/>
      <w:marBottom w:val="0"/>
      <w:divBdr>
        <w:top w:val="none" w:sz="0" w:space="0" w:color="auto"/>
        <w:left w:val="none" w:sz="0" w:space="0" w:color="auto"/>
        <w:bottom w:val="none" w:sz="0" w:space="0" w:color="auto"/>
        <w:right w:val="none" w:sz="0" w:space="0" w:color="auto"/>
      </w:divBdr>
      <w:divsChild>
        <w:div w:id="116516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ietrich@clsphi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cid:image001.jpg@01D58F1A.6C454BA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4"/>
    <w:rsid w:val="0052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F1075DACC14D7A9AE056959FF9A1C8">
    <w:name w:val="D6F1075DACC14D7A9AE056959FF9A1C8"/>
    <w:rsid w:val="00522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B9243-4B39-4840-B666-EF277247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Community Legal Services, Inc</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Dietrich</dc:creator>
  <cp:keywords/>
  <dc:description/>
  <cp:lastModifiedBy>Katie Svoboda-Kindle</cp:lastModifiedBy>
  <cp:revision>2</cp:revision>
  <cp:lastPrinted>2019-11-21T21:30:00Z</cp:lastPrinted>
  <dcterms:created xsi:type="dcterms:W3CDTF">2019-11-21T21:32:00Z</dcterms:created>
  <dcterms:modified xsi:type="dcterms:W3CDTF">2019-11-21T21:32:00Z</dcterms:modified>
</cp:coreProperties>
</file>